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EC2" w:rsidRPr="00A96FCC" w:rsidRDefault="003F6EC2" w:rsidP="003F6EC2">
      <w:pPr>
        <w:jc w:val="center"/>
        <w:rPr>
          <w:sz w:val="28"/>
          <w:szCs w:val="28"/>
        </w:rPr>
      </w:pPr>
      <w:r w:rsidRPr="00A96FCC">
        <w:rPr>
          <w:sz w:val="28"/>
          <w:szCs w:val="28"/>
        </w:rPr>
        <w:object w:dxaOrig="1305" w:dyaOrig="1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85.8pt" o:ole="" fillcolor="window">
            <v:imagedata r:id="rId8" o:title=""/>
          </v:shape>
          <o:OLEObject Type="Embed" ProgID="Word.Picture.8" ShapeID="_x0000_i1025" DrawAspect="Content" ObjectID="_1646124737" r:id="rId9"/>
        </w:object>
      </w:r>
    </w:p>
    <w:p w:rsidR="003F6EC2" w:rsidRPr="003F6EC2" w:rsidRDefault="003F6EC2" w:rsidP="003F6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3F6EC2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3F6EC2" w:rsidRPr="003F6EC2" w:rsidRDefault="003F6EC2" w:rsidP="003F6E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6EC2"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Любытинский район</w:t>
      </w:r>
    </w:p>
    <w:p w:rsidR="003F6EC2" w:rsidRPr="003F6EC2" w:rsidRDefault="003F6EC2" w:rsidP="003F6E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6EC2">
        <w:rPr>
          <w:rFonts w:ascii="Times New Roman" w:hAnsi="Times New Roman" w:cs="Times New Roman"/>
          <w:b/>
          <w:bCs/>
          <w:sz w:val="28"/>
          <w:szCs w:val="28"/>
        </w:rPr>
        <w:t>Администрация Неболчского сельского поселения</w:t>
      </w:r>
    </w:p>
    <w:p w:rsidR="003F6EC2" w:rsidRPr="00EB1806" w:rsidRDefault="003F6EC2" w:rsidP="003F6EC2">
      <w:pPr>
        <w:rPr>
          <w:b/>
          <w:sz w:val="28"/>
          <w:szCs w:val="28"/>
        </w:rPr>
      </w:pPr>
      <w:r w:rsidRPr="00EB1806">
        <w:rPr>
          <w:sz w:val="28"/>
          <w:szCs w:val="28"/>
        </w:rPr>
        <w:t xml:space="preserve">                                         </w:t>
      </w:r>
    </w:p>
    <w:p w:rsidR="00FD67F8" w:rsidRPr="003F6EC2" w:rsidRDefault="00FD67F8" w:rsidP="003F6EC2">
      <w:pPr>
        <w:pStyle w:val="a6"/>
      </w:pPr>
      <w:r>
        <w:t xml:space="preserve">                                </w:t>
      </w:r>
      <w:r w:rsidR="003F6EC2">
        <w:t xml:space="preserve">     </w:t>
      </w:r>
      <w:r w:rsidRPr="007F3462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FD67F8" w:rsidRPr="007F3462" w:rsidRDefault="00FD67F8" w:rsidP="007F3462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FD67F8" w:rsidRPr="007F3462" w:rsidRDefault="002D64C3" w:rsidP="007F3462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31.12.2019г. № 282</w:t>
      </w:r>
      <w:r w:rsidR="00FD67F8" w:rsidRPr="007F3462">
        <w:rPr>
          <w:rFonts w:ascii="Times New Roman" w:hAnsi="Times New Roman"/>
          <w:sz w:val="28"/>
          <w:szCs w:val="28"/>
        </w:rPr>
        <w:t xml:space="preserve">  </w:t>
      </w:r>
    </w:p>
    <w:p w:rsidR="00FD67F8" w:rsidRPr="007F3462" w:rsidRDefault="00FD67F8" w:rsidP="007F3462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7F3462">
        <w:rPr>
          <w:rFonts w:ascii="Times New Roman" w:hAnsi="Times New Roman"/>
          <w:sz w:val="28"/>
          <w:szCs w:val="28"/>
        </w:rPr>
        <w:t>р.п.Неболчи</w:t>
      </w:r>
    </w:p>
    <w:p w:rsidR="007F3462" w:rsidRPr="003F6EC2" w:rsidRDefault="00FD67F8" w:rsidP="0046443F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3F6EC2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О </w:t>
      </w:r>
      <w:r w:rsidR="00875BCC" w:rsidRPr="003F6EC2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 порядке представления,</w:t>
      </w:r>
      <w:r w:rsidR="00875BCC" w:rsidRPr="003F6EC2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br/>
        <w:t>рассмотрения и утверждения отчетности </w:t>
      </w:r>
      <w:r w:rsidR="00875BCC" w:rsidRPr="003F6EC2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br/>
        <w:t>об исполнен</w:t>
      </w:r>
      <w:r w:rsidRPr="003F6EC2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ии бюджета сельского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3F6EC2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поселения</w:t>
      </w:r>
      <w:r w:rsidR="007F3462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</w:p>
    <w:p w:rsidR="00FD67F8" w:rsidRPr="003F6EC2" w:rsidRDefault="00FD67F8" w:rsidP="0046443F">
      <w:pPr>
        <w:spacing w:after="0" w:line="238" w:lineRule="atLeast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3F6EC2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и его внешней проверки</w:t>
      </w:r>
    </w:p>
    <w:p w:rsidR="0046443F" w:rsidRPr="003F6EC2" w:rsidRDefault="0046443F" w:rsidP="0046443F">
      <w:pPr>
        <w:spacing w:after="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D35021" w:rsidRPr="003F6EC2" w:rsidRDefault="00FD67F8" w:rsidP="0046443F">
      <w:pPr>
        <w:spacing w:before="120"/>
        <w:rPr>
          <w:sz w:val="28"/>
          <w:szCs w:val="28"/>
        </w:rPr>
      </w:pP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46443F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          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соответствии с Бюджетны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 кодексом Российской Федерации, б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юджетным процессом Неболчского сельского поселения, утвержденным Советом депутатов Неболчского сельского поселения </w:t>
      </w:r>
      <w:r w:rsidR="0046443F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от 19.0.2007 года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№25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ПОСТАНОВЛЯЮ: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1.  Утвердить   Порядок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представления, рассмотрения и утверждения отчетности об исполнен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ии бюджета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его внешней про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верки согласно приложения 1.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="00D35021" w:rsidRPr="003F6EC2">
        <w:rPr>
          <w:rFonts w:ascii="Times New Roman" w:hAnsi="Times New Roman" w:cs="Times New Roman"/>
          <w:sz w:val="28"/>
          <w:szCs w:val="28"/>
        </w:rPr>
        <w:t xml:space="preserve">2 </w:t>
      </w:r>
      <w:r w:rsidR="00276516" w:rsidRPr="003F6EC2">
        <w:rPr>
          <w:rFonts w:ascii="Times New Roman" w:hAnsi="Times New Roman" w:cs="Times New Roman"/>
          <w:sz w:val="28"/>
          <w:szCs w:val="28"/>
        </w:rPr>
        <w:t xml:space="preserve">. </w:t>
      </w:r>
      <w:r w:rsidR="00D35021" w:rsidRPr="003F6EC2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Неболчского сельского поселения в информационно – телекоммуникационной сети “Интернет”.</w:t>
      </w:r>
    </w:p>
    <w:p w:rsidR="00D35021" w:rsidRPr="003F6EC2" w:rsidRDefault="00D35021" w:rsidP="00D35021">
      <w:pPr>
        <w:jc w:val="both"/>
        <w:rPr>
          <w:sz w:val="28"/>
          <w:szCs w:val="28"/>
        </w:rPr>
      </w:pPr>
    </w:p>
    <w:p w:rsidR="00276516" w:rsidRPr="003F6EC2" w:rsidRDefault="00875BCC" w:rsidP="003F6EC2">
      <w:pPr>
        <w:spacing w:line="238" w:lineRule="atLeast"/>
        <w:ind w:left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                          Глава поселения                                             П.С.Ермилов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FD67F8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</w:t>
      </w:r>
      <w:r w:rsidR="003F6EC2">
        <w:rPr>
          <w:rFonts w:ascii="Times New Roman" w:eastAsia="Times New Roman" w:hAnsi="Times New Roman" w:cs="Times New Roman"/>
          <w:color w:val="242424"/>
          <w:sz w:val="20"/>
          <w:szCs w:val="20"/>
          <w:lang w:eastAsia="ru-RU"/>
        </w:rPr>
        <w:t>           </w:t>
      </w:r>
    </w:p>
    <w:p w:rsidR="00276516" w:rsidRPr="003F6EC2" w:rsidRDefault="0046443F" w:rsidP="003F6EC2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3F6EC2">
        <w:rPr>
          <w:rFonts w:ascii="Times New Roman" w:hAnsi="Times New Roman" w:cs="Times New Roman"/>
          <w:color w:val="242424"/>
          <w:sz w:val="28"/>
          <w:szCs w:val="28"/>
        </w:rPr>
        <w:t xml:space="preserve">                                </w:t>
      </w:r>
      <w:r w:rsidR="00276516" w:rsidRPr="003F6EC2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276516" w:rsidRPr="003F6EC2" w:rsidRDefault="00276516" w:rsidP="003F6EC2">
      <w:pPr>
        <w:pStyle w:val="ConsPlusNormal"/>
        <w:ind w:left="36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3F6EC2">
        <w:rPr>
          <w:rFonts w:ascii="Times New Roman" w:hAnsi="Times New Roman" w:cs="Times New Roman"/>
          <w:sz w:val="28"/>
          <w:szCs w:val="28"/>
        </w:rPr>
        <w:t xml:space="preserve">Администрации Неболчского сельского  поселения </w:t>
      </w:r>
    </w:p>
    <w:p w:rsidR="00276516" w:rsidRPr="003F6EC2" w:rsidRDefault="002D64C3" w:rsidP="003F6EC2">
      <w:pPr>
        <w:pStyle w:val="ConsPlusNormal"/>
        <w:ind w:left="6238" w:firstLine="0"/>
        <w:jc w:val="right"/>
        <w:rPr>
          <w:rFonts w:ascii="Times New Roman" w:hAnsi="Times New Roman" w:cs="Times New Roman"/>
          <w:sz w:val="28"/>
          <w:szCs w:val="28"/>
        </w:rPr>
      </w:pPr>
      <w:r w:rsidRPr="003F6EC2">
        <w:rPr>
          <w:rFonts w:ascii="Times New Roman" w:hAnsi="Times New Roman" w:cs="Times New Roman"/>
          <w:sz w:val="28"/>
          <w:szCs w:val="28"/>
        </w:rPr>
        <w:t>от 31.12. 2019 г. N 282</w:t>
      </w:r>
      <w:bookmarkStart w:id="0" w:name="_GoBack"/>
      <w:bookmarkEnd w:id="0"/>
    </w:p>
    <w:p w:rsidR="00276516" w:rsidRPr="003F6EC2" w:rsidRDefault="00276516" w:rsidP="003F6EC2">
      <w:pPr>
        <w:pStyle w:val="ConsPlusTitle"/>
        <w:ind w:left="6238"/>
        <w:jc w:val="right"/>
      </w:pPr>
    </w:p>
    <w:p w:rsidR="00276516" w:rsidRPr="003F6EC2" w:rsidRDefault="00276516" w:rsidP="003F6EC2">
      <w:pPr>
        <w:pStyle w:val="ConsPlusTitle"/>
        <w:ind w:left="360"/>
        <w:jc w:val="right"/>
        <w:rPr>
          <w:b w:val="0"/>
        </w:rPr>
      </w:pPr>
    </w:p>
    <w:p w:rsidR="00276516" w:rsidRPr="003F6EC2" w:rsidRDefault="00276516" w:rsidP="0035482E">
      <w:pPr>
        <w:spacing w:line="238" w:lineRule="atLeast"/>
        <w:ind w:left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276516" w:rsidRPr="003F6EC2" w:rsidRDefault="00276516" w:rsidP="0035482E">
      <w:pPr>
        <w:spacing w:line="238" w:lineRule="atLeast"/>
        <w:ind w:left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                                                        Порядок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</w:p>
    <w:p w:rsidR="002D57FC" w:rsidRPr="003F6EC2" w:rsidRDefault="00875BCC" w:rsidP="00F9383C">
      <w:pPr>
        <w:spacing w:line="238" w:lineRule="atLeast"/>
        <w:ind w:firstLine="360"/>
        <w:rPr>
          <w:rFonts w:ascii="Times New Roman" w:hAnsi="Times New Roman" w:cs="Times New Roman"/>
          <w:sz w:val="28"/>
          <w:szCs w:val="28"/>
        </w:rPr>
      </w:pP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представления, рассмотрения и утверждения отчетности об ис</w:t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полнении бюджета </w:t>
      </w:r>
      <w:r w:rsidR="007F3462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     </w:t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сельского поселения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 его внешней проверки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I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r w:rsidR="00F9383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Порядок представления, рассмотрения и утверждения отчетности об исполнении бюджета       сельского поселения и его внешней проверки</w:t>
      </w:r>
      <w:r w:rsidR="00F9383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="00F9383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.1. Внешняя проверка годового</w:t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отчета об исполнении бюджета</w:t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.1.1.  Годовой отчет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сельского поселения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до его рассмотрения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Совете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Неболчского сельского поселения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подлежит внешней проверке, которая включает внешнюю проверку бюджетной отчетности главных распорядителей средств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главных администраторов доходов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бюджета сельского поселения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главных администраторов источников финансирования дефицита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(далее, если не оговорено особо, - главных администраторов бюджетных средств) и подготовку заключения на годово</w:t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й отчет об исполнении бюджета.</w:t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.1.2. Внешняя проверка годового отчета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сельского поселения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осуществляется Контрольно-счетной палатой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Любытинского муниципального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района в порядке, установленном настоящим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постановлением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 соблюдением требований Бюджетного</w:t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кодекса Российской Федерации.</w:t>
      </w:r>
      <w:r w:rsidR="00276516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.1.3. Главные распорядители средств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бюджета сельского поселения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главные администраторы доходов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бюджета сельского поселения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главные администраторы источников финансирования дефицита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сельского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поселения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 позднее 1 апреля текущего финансового года представляют годовую бюджетную отчетность в Контрольно-счетную палату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Любытинского муниципального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района</w:t>
      </w:r>
    </w:p>
    <w:p w:rsidR="00900B43" w:rsidRPr="003F6EC2" w:rsidRDefault="00276516" w:rsidP="00F9383C">
      <w:pPr>
        <w:spacing w:line="238" w:lineRule="atLeast"/>
        <w:rPr>
          <w:rFonts w:ascii="Times New Roman" w:hAnsi="Times New Roman" w:cs="Times New Roman"/>
          <w:sz w:val="28"/>
          <w:szCs w:val="28"/>
        </w:rPr>
      </w:pP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.1.4. Администрация 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Неболчского сельского поселения 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представляет в Контрольно-счетную палату 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Любытинского муниципального района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годовой отчет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для подготовки заключения на него не позднее 1 апреля текущего финансового года. Отчет представляется вместе с документами и материалами, предусмотренными пунктами</w:t>
      </w:r>
      <w:r w:rsidR="000B4371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1.2 и 1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.3 настоящего 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Постановления</w:t>
      </w:r>
    </w:p>
    <w:p w:rsidR="00133889" w:rsidRPr="003F6EC2" w:rsidRDefault="00276516" w:rsidP="00F9383C">
      <w:pPr>
        <w:spacing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.1.5. Контрольно-счетная палата 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Любытинского муниципального района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готовит заключение на годовой отчет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 учетом данных внешней проверки годовой бюджетной отчетности главных адми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нистраторов бюджетных средств.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.1.6. Заключение на годовой отчет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представляется Контрольно-счетной палатой 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Любытинского муниципального района на Совет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  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Неболчского сельского поселения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 одновременным направлением его в администрацию </w:t>
      </w:r>
      <w:r w:rsidR="00900B4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  не позднее 1 мая текущего финансового года. В случае необходимости администрация </w:t>
      </w:r>
      <w:r w:rsidR="0057686B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Неболчского сельского поселения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основании заключения Контрольно-счетной палаты осуществляет корректировку годового отчета об исполнении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бюджета сельского поселения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.2. Представление годового отчета об исполнении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бюджета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.2.1. Годовой отчет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57686B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представляется админ</w:t>
      </w:r>
      <w:r w:rsidR="000B4371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истрацией Неболчского сельского поселения на  Совет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</w:t>
      </w:r>
      <w:r w:rsidR="000B4371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  не позднее 1 мая текущего года.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Годовой отчет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0B4371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должен содержать плановые и фактические данные об исполнении бюджета по доходам, расходам и источникам финансирования дефицита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0B4371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в соответствии с бюджетной классификацией Российской Федерации в части, относящейся к 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бюджету </w:t>
      </w:r>
      <w:r w:rsidR="000B4371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.2.2. Одновременно с годовым отчетом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0B4371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представляются: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проект решения 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Совета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0B4371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 отчетный финансовый год;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бюджетная отчетность финансового отдела адм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инистрации 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как органа, организующего исполнение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бюджета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0B4371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 составу и содержанию в соответствии с Бюджетным кодексом Российской Федерации, нормативными правовыми актами Министерства финансов Российской Федерации;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бюджетная отчетность об исполнении консолидированного бюджета 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Неболчского сельского поселения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по составу и содержанию в соответствии с Бюджетным кодексом Российской Федерации, нормативными правовыми актами Министерства финансов Российской Федерации, разъяснениями Федерального казначейства;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пояснительная записка;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отчеты об исполнени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и приложений к решению  Совета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 о бюджете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 отчетный финансовый год;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отчет об использовании бюджетных ассигнований резервного фонда адм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инистрации 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отчет о состоянии муниципального внутреннего долга по состоянию на начало и конец отчетного финансового года;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отчет о предоставлении и погашении бюджетных кредитов из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бюджета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информация об использовании бюджетных ассигнований дорожного фонда 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Неболчского сельского поселения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за отчетный финансовый год;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иная отчетность, предусмотренная бюджетным законодат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ельством Российской Федерации.</w:t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.2.3. По годовому отчету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проводятся публичные слушания.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Адм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инистрация 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опубликовывает извещение о проведении публич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ных слушаний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по годовому отчету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в средствах массовой информации в течение 10 рабочих дней со дня внесения годового отчета об исполнении  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554DEA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Совет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депутатов.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Финансовый отдел адм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инистрации 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осуществляет опубликование годового отчета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 извещения о проведении публич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ных слушаний  на сайте администрации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не позднее следующего рабочего дня после дня внесения годового отчета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 Совет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депутатов. С годовым отчетом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 сайте администрации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  осуществляется публикация бюджета для граждан, составленного на основе проекта решения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 отчетный финансовый год.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Участники публичных слушаний, представляют замечания, предложения и вопросы по годовому отчету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Ответы на замечания, предложения, вопросы готовятся финансовым отделом адм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инистрации 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во взаимодействии с органами местного самоуправления 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к компетенции которых относятся поступившие замечания, предложения, вопросы.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По результатам рассмотрения замечаний, предложений и вопросов финансовым отделом администрации 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  оформляется итоговый документ публичных слушаний, который должен содержать высказанные участниками публичных слушаний замечания, предложения,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вопросы, а также результат их рассмотрения органами местного самоуправления 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Итоговый документ  направляется финансовым отделом  администрации 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Неболчского сельского поселения на Совет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 не позднее 5 рабочих дней со дня окончания публичных </w:t>
      </w:r>
      <w:r w:rsidR="00D3795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слушаний .</w:t>
      </w:r>
      <w:r w:rsidR="00E31E8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="00E31E8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.3. Решение об исполнении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бюджета сельского поселения</w:t>
      </w:r>
      <w:r w:rsidR="00E31E8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="00E31E8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.3.1. Отчет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за отчетный финансовый год 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утверждается решением Совета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депутатов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Неболчского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 указанием общего объема доходов, расходов и</w:t>
      </w:r>
      <w:r w:rsidR="00E31E8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дефицита (профицита) бюджета.</w:t>
      </w:r>
      <w:r w:rsidR="00E31E83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1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.3.2. Для утверждения годового отчета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представ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ляются: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проект решения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Совета  депутатов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за отчетный финансовый год с указанием общего объема доходов, расходов и дефицита (профицита)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бюджета сельского поселения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;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пояснител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ьная записка к решению  Совета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 отчетный финансовый год.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 xml:space="preserve">Отдельными 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приложениями к решению  Совета </w:t>
      </w:r>
      <w:r w:rsidR="00875BCC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депутатов об исполнении бюджета </w:t>
      </w:r>
      <w:r w:rsidR="00174F0E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сельского поселения</w:t>
      </w:r>
      <w:r w:rsidR="00C607CD"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</w:p>
    <w:p w:rsidR="00133889" w:rsidRPr="003F6EC2" w:rsidRDefault="00875BCC" w:rsidP="00F9383C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F6EC2">
        <w:rPr>
          <w:rFonts w:ascii="Times New Roman" w:hAnsi="Times New Roman" w:cs="Times New Roman"/>
          <w:color w:val="242424"/>
          <w:sz w:val="28"/>
          <w:szCs w:val="28"/>
        </w:rPr>
        <w:t>за отчетный финансовый год утверждаются показатели: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br/>
        <w:t xml:space="preserve">доходов бюджета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сельского поселения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>по кодам классификации доходов бюджетов;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br/>
        <w:t xml:space="preserve">расходов бюджета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сельского поселения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по ведомственной структуре расходов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бюджета сельского поселения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>;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br/>
        <w:t xml:space="preserve">расходов  бюджета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сельского поселения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>по разделам и подразделам классификации расходов бюджетов;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br/>
        <w:t xml:space="preserve">источников финансирования дефицита бюджета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сельского поселения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>по кодам классифи</w:t>
      </w:r>
      <w:r w:rsidR="00F218AB"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кации источников финансирования 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>дефицитов бюджетов;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br/>
        <w:t xml:space="preserve">источников финансирования дефицита бюджета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сельского поселения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>по кодам групп, подгрупп, статей,</w:t>
      </w:r>
      <w:r w:rsidR="00E31E83" w:rsidRPr="003F6EC2">
        <w:rPr>
          <w:rFonts w:ascii="Times New Roman" w:hAnsi="Times New Roman" w:cs="Times New Roman"/>
          <w:color w:val="242424"/>
          <w:sz w:val="28"/>
          <w:szCs w:val="28"/>
        </w:rPr>
        <w:t>.</w:t>
      </w:r>
      <w:r w:rsidR="00E31E83" w:rsidRPr="003F6EC2">
        <w:rPr>
          <w:rFonts w:ascii="Times New Roman" w:hAnsi="Times New Roman" w:cs="Times New Roman"/>
          <w:color w:val="242424"/>
          <w:sz w:val="28"/>
          <w:szCs w:val="28"/>
        </w:rPr>
        <w:br/>
        <w:t>1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>.3.3. Решением  Совета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депутатов  об исполнении бюджета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сельского поселения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>также утверждаются иные показатели, установленные Бюджетным кодексом Российской Федера</w:t>
      </w:r>
      <w:r w:rsidR="00E31E83" w:rsidRPr="003F6EC2">
        <w:rPr>
          <w:rFonts w:ascii="Times New Roman" w:hAnsi="Times New Roman" w:cs="Times New Roman"/>
          <w:color w:val="242424"/>
          <w:sz w:val="28"/>
          <w:szCs w:val="28"/>
        </w:rPr>
        <w:t>ции.</w:t>
      </w:r>
      <w:r w:rsidR="00E31E83" w:rsidRPr="003F6EC2">
        <w:rPr>
          <w:rFonts w:ascii="Times New Roman" w:hAnsi="Times New Roman" w:cs="Times New Roman"/>
          <w:color w:val="242424"/>
          <w:sz w:val="28"/>
          <w:szCs w:val="28"/>
        </w:rPr>
        <w:br/>
      </w:r>
      <w:r w:rsidR="00E31E83" w:rsidRPr="003F6EC2">
        <w:rPr>
          <w:rFonts w:ascii="Times New Roman" w:hAnsi="Times New Roman" w:cs="Times New Roman"/>
          <w:color w:val="242424"/>
          <w:sz w:val="28"/>
          <w:szCs w:val="28"/>
        </w:rPr>
        <w:br/>
        <w:t>1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.4. Рассмотрение годового отчета об исполнении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бюджета сельского поселения</w:t>
      </w:r>
      <w:r w:rsidR="00E31E83" w:rsidRPr="003F6EC2">
        <w:rPr>
          <w:rFonts w:ascii="Times New Roman" w:hAnsi="Times New Roman" w:cs="Times New Roman"/>
          <w:color w:val="242424"/>
          <w:sz w:val="28"/>
          <w:szCs w:val="28"/>
        </w:rPr>
        <w:br/>
      </w:r>
      <w:r w:rsidR="00E31E83" w:rsidRPr="003F6EC2">
        <w:rPr>
          <w:rFonts w:ascii="Times New Roman" w:hAnsi="Times New Roman" w:cs="Times New Roman"/>
          <w:color w:val="242424"/>
          <w:sz w:val="28"/>
          <w:szCs w:val="28"/>
        </w:rPr>
        <w:br/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>1.4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>.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>1.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По результатам рассмотрения годового отчета об исполнении бюджета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сельского поселения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 Совет 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 депутатов </w:t>
      </w:r>
      <w:r w:rsidR="00133889"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  Неболчского сельского поселения 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 xml:space="preserve">принимает решение о принятии либо отклонении проекта решения об исполнении </w:t>
      </w:r>
      <w:r w:rsidR="00174F0E" w:rsidRPr="003F6EC2">
        <w:rPr>
          <w:rFonts w:ascii="Times New Roman" w:hAnsi="Times New Roman" w:cs="Times New Roman"/>
          <w:color w:val="242424"/>
          <w:sz w:val="28"/>
          <w:szCs w:val="28"/>
        </w:rPr>
        <w:t>бюджета сельского поселения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t>.</w:t>
      </w:r>
      <w:r w:rsidRPr="003F6EC2">
        <w:rPr>
          <w:rFonts w:ascii="Times New Roman" w:hAnsi="Times New Roman" w:cs="Times New Roman"/>
          <w:color w:val="242424"/>
          <w:sz w:val="28"/>
          <w:szCs w:val="28"/>
        </w:rPr>
        <w:br/>
      </w:r>
      <w:r w:rsidR="00133889" w:rsidRPr="003F6EC2">
        <w:rPr>
          <w:rFonts w:ascii="Times New Roman" w:hAnsi="Times New Roman" w:cs="Times New Roman"/>
          <w:sz w:val="28"/>
          <w:szCs w:val="28"/>
        </w:rPr>
        <w:t xml:space="preserve">1.4.2.В случае отклонения Советом депутатов решения об исполнении бюджета </w:t>
      </w:r>
      <w:r w:rsidR="00133889" w:rsidRPr="003F6EC2">
        <w:rPr>
          <w:rFonts w:ascii="Times New Roman" w:hAnsi="Times New Roman" w:cs="Times New Roman"/>
          <w:sz w:val="28"/>
          <w:szCs w:val="28"/>
        </w:rPr>
        <w:lastRenderedPageBreak/>
        <w:t>поселения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133889" w:rsidRPr="003F6EC2" w:rsidRDefault="00133889" w:rsidP="00F9383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75E3D" w:rsidRPr="003F6EC2" w:rsidRDefault="00875BCC" w:rsidP="00F9383C">
      <w:pPr>
        <w:spacing w:line="238" w:lineRule="atLeast"/>
        <w:rPr>
          <w:rFonts w:ascii="Times New Roman" w:hAnsi="Times New Roman" w:cs="Times New Roman"/>
          <w:sz w:val="28"/>
          <w:szCs w:val="28"/>
        </w:rPr>
      </w:pP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  <w:r w:rsidRPr="003F6EC2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</w:r>
    </w:p>
    <w:sectPr w:rsidR="00875E3D" w:rsidRPr="003F6EC2" w:rsidSect="00F9383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6DE" w:rsidRDefault="001B46DE" w:rsidP="00276516">
      <w:pPr>
        <w:spacing w:after="0" w:line="240" w:lineRule="auto"/>
      </w:pPr>
      <w:r>
        <w:separator/>
      </w:r>
    </w:p>
  </w:endnote>
  <w:endnote w:type="continuationSeparator" w:id="0">
    <w:p w:rsidR="001B46DE" w:rsidRDefault="001B46DE" w:rsidP="0027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6DE" w:rsidRDefault="001B46DE" w:rsidP="00276516">
      <w:pPr>
        <w:spacing w:after="0" w:line="240" w:lineRule="auto"/>
      </w:pPr>
      <w:r>
        <w:separator/>
      </w:r>
    </w:p>
  </w:footnote>
  <w:footnote w:type="continuationSeparator" w:id="0">
    <w:p w:rsidR="001B46DE" w:rsidRDefault="001B46DE" w:rsidP="00276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216C9"/>
    <w:multiLevelType w:val="multilevel"/>
    <w:tmpl w:val="AD5C1C98"/>
    <w:lvl w:ilvl="0">
      <w:start w:val="1"/>
      <w:numFmt w:val="bullet"/>
      <w:lvlText w:val=""/>
      <w:lvlJc w:val="left"/>
      <w:pPr>
        <w:tabs>
          <w:tab w:val="num" w:pos="6598"/>
        </w:tabs>
        <w:ind w:left="659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318"/>
        </w:tabs>
        <w:ind w:left="731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8038"/>
        </w:tabs>
        <w:ind w:left="803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8758"/>
        </w:tabs>
        <w:ind w:left="875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478"/>
        </w:tabs>
        <w:ind w:left="947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198"/>
        </w:tabs>
        <w:ind w:left="1019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0918"/>
        </w:tabs>
        <w:ind w:left="1091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1638"/>
        </w:tabs>
        <w:ind w:left="1163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358"/>
        </w:tabs>
        <w:ind w:left="12358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EB9"/>
    <w:rsid w:val="000B4371"/>
    <w:rsid w:val="000E335A"/>
    <w:rsid w:val="000F0767"/>
    <w:rsid w:val="00133889"/>
    <w:rsid w:val="00172072"/>
    <w:rsid w:val="00174F0E"/>
    <w:rsid w:val="001B46DE"/>
    <w:rsid w:val="00276516"/>
    <w:rsid w:val="002D57FC"/>
    <w:rsid w:val="002D64C3"/>
    <w:rsid w:val="0035482E"/>
    <w:rsid w:val="00397621"/>
    <w:rsid w:val="003F6EC2"/>
    <w:rsid w:val="004436CC"/>
    <w:rsid w:val="0046443F"/>
    <w:rsid w:val="00554DEA"/>
    <w:rsid w:val="00557C26"/>
    <w:rsid w:val="0057686B"/>
    <w:rsid w:val="00774111"/>
    <w:rsid w:val="007F3462"/>
    <w:rsid w:val="00875BCC"/>
    <w:rsid w:val="00875E3D"/>
    <w:rsid w:val="00900B43"/>
    <w:rsid w:val="009A0EB9"/>
    <w:rsid w:val="009B33F4"/>
    <w:rsid w:val="00BE1B3C"/>
    <w:rsid w:val="00C607CD"/>
    <w:rsid w:val="00C95AC8"/>
    <w:rsid w:val="00D35021"/>
    <w:rsid w:val="00D3795E"/>
    <w:rsid w:val="00E31E83"/>
    <w:rsid w:val="00F218AB"/>
    <w:rsid w:val="00F9383C"/>
    <w:rsid w:val="00FD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4D49A"/>
  <w15:docId w15:val="{E1C0946C-6747-4FDF-A2FF-726EA3BF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5B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0ve">
    <w:name w:val="ma0ve"/>
    <w:basedOn w:val="a"/>
    <w:rsid w:val="00C9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whz">
    <w:name w:val="_17whz"/>
    <w:basedOn w:val="a0"/>
    <w:rsid w:val="00C95AC8"/>
  </w:style>
  <w:style w:type="paragraph" w:styleId="a3">
    <w:name w:val="Balloon Text"/>
    <w:basedOn w:val="a"/>
    <w:link w:val="a4"/>
    <w:uiPriority w:val="99"/>
    <w:semiHidden/>
    <w:unhideWhenUsed/>
    <w:rsid w:val="00C95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A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5B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8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5BCC"/>
  </w:style>
  <w:style w:type="paragraph" w:styleId="a6">
    <w:name w:val="List Paragraph"/>
    <w:basedOn w:val="a"/>
    <w:uiPriority w:val="34"/>
    <w:qFormat/>
    <w:rsid w:val="00FD67F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6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6516"/>
  </w:style>
  <w:style w:type="paragraph" w:styleId="a9">
    <w:name w:val="footer"/>
    <w:basedOn w:val="a"/>
    <w:link w:val="aa"/>
    <w:uiPriority w:val="99"/>
    <w:unhideWhenUsed/>
    <w:rsid w:val="00276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6516"/>
  </w:style>
  <w:style w:type="paragraph" w:customStyle="1" w:styleId="ConsPlusNormal">
    <w:name w:val="ConsPlusNormal"/>
    <w:link w:val="ConsPlusNormal0"/>
    <w:rsid w:val="002765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7651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765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33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6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0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2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3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3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0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51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5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8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2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0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1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52D7A-9A3A-40B8-A2B0-6515194E8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AL-160312</dc:creator>
  <cp:keywords/>
  <dc:description/>
  <cp:lastModifiedBy>admin</cp:lastModifiedBy>
  <cp:revision>33</cp:revision>
  <cp:lastPrinted>2020-02-26T11:26:00Z</cp:lastPrinted>
  <dcterms:created xsi:type="dcterms:W3CDTF">2020-02-21T08:57:00Z</dcterms:created>
  <dcterms:modified xsi:type="dcterms:W3CDTF">2020-03-19T09:06:00Z</dcterms:modified>
</cp:coreProperties>
</file>